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A520">
      <w:pPr>
        <w:spacing w:line="360" w:lineRule="auto"/>
        <w:ind w:left="-171" w:firstLine="241" w:firstLineChars="100"/>
        <w:outlineLvl w:val="0"/>
        <w:rPr>
          <w:rFonts w:hint="eastAsia"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项目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清单</w:t>
      </w:r>
    </w:p>
    <w:tbl>
      <w:tblPr>
        <w:tblStyle w:val="2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40"/>
        <w:gridCol w:w="720"/>
        <w:gridCol w:w="735"/>
        <w:gridCol w:w="1575"/>
        <w:gridCol w:w="1318"/>
        <w:gridCol w:w="1701"/>
      </w:tblGrid>
      <w:tr w14:paraId="6183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C1ECF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40" w:type="dxa"/>
            <w:shd w:val="clear" w:color="auto" w:fill="auto"/>
          </w:tcPr>
          <w:p w14:paraId="3D1CBC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维保服务内容</w:t>
            </w:r>
          </w:p>
        </w:tc>
        <w:tc>
          <w:tcPr>
            <w:tcW w:w="720" w:type="dxa"/>
            <w:shd w:val="clear" w:color="auto" w:fill="auto"/>
          </w:tcPr>
          <w:p w14:paraId="4D693F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35" w:type="dxa"/>
            <w:shd w:val="clear" w:color="auto" w:fill="auto"/>
          </w:tcPr>
          <w:p w14:paraId="685510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575" w:type="dxa"/>
            <w:shd w:val="clear" w:color="auto" w:fill="auto"/>
          </w:tcPr>
          <w:p w14:paraId="52B9CA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单价（元/年）</w:t>
            </w:r>
          </w:p>
        </w:tc>
        <w:tc>
          <w:tcPr>
            <w:tcW w:w="1318" w:type="dxa"/>
            <w:shd w:val="clear" w:color="auto" w:fill="auto"/>
          </w:tcPr>
          <w:p w14:paraId="151075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金额（元）</w:t>
            </w:r>
          </w:p>
        </w:tc>
        <w:tc>
          <w:tcPr>
            <w:tcW w:w="1701" w:type="dxa"/>
            <w:shd w:val="clear" w:color="auto" w:fill="auto"/>
          </w:tcPr>
          <w:p w14:paraId="4DD797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维护期</w:t>
            </w:r>
          </w:p>
        </w:tc>
      </w:tr>
      <w:tr w14:paraId="66E4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E8301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CD7DD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检验、输血信息系统维护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E8622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6BF1FD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59EB59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433A1A0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A6B586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以合同签订之日起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一年。</w:t>
            </w:r>
          </w:p>
        </w:tc>
      </w:tr>
      <w:tr w14:paraId="1137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26842EEE">
            <w:pPr>
              <w:spacing w:line="360" w:lineRule="auto"/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B5B5A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急诊预检分诊信息系统维护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58381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2F7786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C4FD2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48EE560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594FC1D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4E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498" w:type="dxa"/>
            <w:gridSpan w:val="7"/>
            <w:shd w:val="clear" w:color="auto" w:fill="auto"/>
          </w:tcPr>
          <w:p w14:paraId="768176CB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</w:p>
        </w:tc>
      </w:tr>
    </w:tbl>
    <w:p w14:paraId="17098FB7">
      <w:pPr>
        <w:widowControl/>
        <w:tabs>
          <w:tab w:val="left" w:pos="840"/>
        </w:tabs>
        <w:spacing w:line="360" w:lineRule="auto"/>
        <w:ind w:left="105" w:leftChars="50" w:right="84"/>
        <w:jc w:val="left"/>
        <w:rPr>
          <w:rFonts w:hint="eastAsia" w:ascii="宋体" w:hAnsi="宋体" w:eastAsia="宋体" w:cs="宋体"/>
          <w:kern w:val="0"/>
          <w:sz w:val="24"/>
          <w:szCs w:val="24"/>
          <w:u w:val="single"/>
        </w:rPr>
      </w:pPr>
    </w:p>
    <w:p w14:paraId="63F2CE12">
      <w:pPr>
        <w:spacing w:line="360" w:lineRule="auto"/>
        <w:ind w:left="-171"/>
        <w:outlineLvl w:val="0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服务内容</w:t>
      </w:r>
    </w:p>
    <w:tbl>
      <w:tblPr>
        <w:tblStyle w:val="2"/>
        <w:tblW w:w="85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30"/>
        <w:gridCol w:w="5483"/>
      </w:tblGrid>
      <w:tr w14:paraId="34E9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C3B60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30" w:type="dxa"/>
            <w:vAlign w:val="center"/>
          </w:tcPr>
          <w:p w14:paraId="4CC6DBD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5483" w:type="dxa"/>
            <w:vAlign w:val="center"/>
          </w:tcPr>
          <w:p w14:paraId="3A7A3A9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服务内容详细描述</w:t>
            </w:r>
          </w:p>
        </w:tc>
      </w:tr>
      <w:tr w14:paraId="3B71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93" w:type="dxa"/>
            <w:vAlign w:val="center"/>
          </w:tcPr>
          <w:p w14:paraId="39E337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30" w:type="dxa"/>
            <w:vAlign w:val="center"/>
          </w:tcPr>
          <w:p w14:paraId="145E59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软件出错性修改</w:t>
            </w:r>
          </w:p>
        </w:tc>
        <w:tc>
          <w:tcPr>
            <w:tcW w:w="5483" w:type="dxa"/>
            <w:vAlign w:val="center"/>
          </w:tcPr>
          <w:p w14:paraId="1D48344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软件出错</w:t>
            </w:r>
          </w:p>
          <w:p w14:paraId="34B790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软件死机</w:t>
            </w:r>
          </w:p>
          <w:p w14:paraId="5452EE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数据错误</w:t>
            </w:r>
          </w:p>
          <w:p w14:paraId="657913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仪器接口错误</w:t>
            </w:r>
          </w:p>
        </w:tc>
      </w:tr>
      <w:tr w14:paraId="5E06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93" w:type="dxa"/>
            <w:vAlign w:val="center"/>
          </w:tcPr>
          <w:p w14:paraId="77DA2A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30" w:type="dxa"/>
            <w:vAlign w:val="center"/>
          </w:tcPr>
          <w:p w14:paraId="6CAC94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服务器数据库检查与优化</w:t>
            </w:r>
          </w:p>
        </w:tc>
        <w:tc>
          <w:tcPr>
            <w:tcW w:w="5483" w:type="dxa"/>
            <w:vAlign w:val="center"/>
          </w:tcPr>
          <w:p w14:paraId="01767D4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数据转储</w:t>
            </w:r>
          </w:p>
          <w:p w14:paraId="22BD04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数据库检查与优化</w:t>
            </w:r>
          </w:p>
          <w:p w14:paraId="2C231F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垃圾数据清理</w:t>
            </w:r>
          </w:p>
          <w:p w14:paraId="4D4AD7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服务器检查</w:t>
            </w:r>
          </w:p>
        </w:tc>
      </w:tr>
      <w:tr w14:paraId="5386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93" w:type="dxa"/>
            <w:vAlign w:val="center"/>
          </w:tcPr>
          <w:p w14:paraId="2448B5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30" w:type="dxa"/>
            <w:vAlign w:val="center"/>
          </w:tcPr>
          <w:p w14:paraId="1D8F0F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系统更新与优化</w:t>
            </w:r>
          </w:p>
        </w:tc>
        <w:tc>
          <w:tcPr>
            <w:tcW w:w="5483" w:type="dxa"/>
            <w:vAlign w:val="center"/>
          </w:tcPr>
          <w:p w14:paraId="3A179A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优化软件功能与性能，在服务方推出同版本的新升级程序后，对用户系统进行升级。</w:t>
            </w:r>
          </w:p>
        </w:tc>
      </w:tr>
      <w:tr w14:paraId="44E8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93" w:type="dxa"/>
            <w:vAlign w:val="center"/>
          </w:tcPr>
          <w:p w14:paraId="54CACE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30" w:type="dxa"/>
            <w:vAlign w:val="center"/>
          </w:tcPr>
          <w:p w14:paraId="6859AF5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报表制作与调整</w:t>
            </w:r>
          </w:p>
        </w:tc>
        <w:tc>
          <w:tcPr>
            <w:tcW w:w="5483" w:type="dxa"/>
            <w:vAlign w:val="center"/>
          </w:tcPr>
          <w:p w14:paraId="68A8DD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用户提交详细的需求，并画出报表格式及数据统计的方式，服务方安排专业的报表工程师进行解决。</w:t>
            </w:r>
          </w:p>
        </w:tc>
      </w:tr>
      <w:tr w14:paraId="51B4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93" w:type="dxa"/>
            <w:vAlign w:val="center"/>
          </w:tcPr>
          <w:p w14:paraId="48FB09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030" w:type="dxa"/>
            <w:vAlign w:val="center"/>
          </w:tcPr>
          <w:p w14:paraId="604FE9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技术支持</w:t>
            </w:r>
          </w:p>
        </w:tc>
        <w:tc>
          <w:tcPr>
            <w:tcW w:w="5483" w:type="dxa"/>
            <w:vAlign w:val="center"/>
          </w:tcPr>
          <w:p w14:paraId="3C7F64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系统适应性修改和系统现有功能的完善。</w:t>
            </w:r>
          </w:p>
        </w:tc>
      </w:tr>
      <w:tr w14:paraId="3E44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93" w:type="dxa"/>
            <w:vAlign w:val="center"/>
          </w:tcPr>
          <w:p w14:paraId="795C3C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14:paraId="0646CE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应急故障处理</w:t>
            </w:r>
          </w:p>
        </w:tc>
        <w:tc>
          <w:tcPr>
            <w:tcW w:w="5483" w:type="dxa"/>
            <w:vAlign w:val="center"/>
          </w:tcPr>
          <w:p w14:paraId="462AAF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服务器硬件、数据库或仪器接口故障等，导致系统无法正常运行，且电话指导无法解决时，公司在接到故障报障后，应立即响应，且2小时内派出工程师到达现场协助解决。</w:t>
            </w:r>
          </w:p>
        </w:tc>
      </w:tr>
      <w:tr w14:paraId="2A58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93" w:type="dxa"/>
            <w:vAlign w:val="center"/>
          </w:tcPr>
          <w:p w14:paraId="43C2BF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030" w:type="dxa"/>
            <w:vAlign w:val="center"/>
          </w:tcPr>
          <w:p w14:paraId="6BDF98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字典调整</w:t>
            </w:r>
          </w:p>
        </w:tc>
        <w:tc>
          <w:tcPr>
            <w:tcW w:w="5483" w:type="dxa"/>
            <w:vAlign w:val="center"/>
          </w:tcPr>
          <w:p w14:paraId="20B4C3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字典调整指导，涉及工作量较大的且用户方无法自行解决的，双方协商解决，如政策性调整或基础字典全面重整等。</w:t>
            </w:r>
          </w:p>
        </w:tc>
      </w:tr>
      <w:tr w14:paraId="25D0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3" w:type="dxa"/>
            <w:vAlign w:val="center"/>
          </w:tcPr>
          <w:p w14:paraId="0D1F0C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14:paraId="1BAD81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人员培训</w:t>
            </w:r>
          </w:p>
        </w:tc>
        <w:tc>
          <w:tcPr>
            <w:tcW w:w="5483" w:type="dxa"/>
            <w:vAlign w:val="center"/>
          </w:tcPr>
          <w:p w14:paraId="3E013B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提供操作说明书，电话支持、远程支持。</w:t>
            </w:r>
          </w:p>
        </w:tc>
      </w:tr>
      <w:tr w14:paraId="4D8F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93" w:type="dxa"/>
            <w:vAlign w:val="center"/>
          </w:tcPr>
          <w:p w14:paraId="32AD82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030" w:type="dxa"/>
            <w:vAlign w:val="center"/>
          </w:tcPr>
          <w:p w14:paraId="317E2D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客户端安装</w:t>
            </w:r>
          </w:p>
        </w:tc>
        <w:tc>
          <w:tcPr>
            <w:tcW w:w="5483" w:type="dxa"/>
            <w:vAlign w:val="center"/>
          </w:tcPr>
          <w:p w14:paraId="4B0BAB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提供安装指导，安装说明书。</w:t>
            </w:r>
          </w:p>
        </w:tc>
      </w:tr>
    </w:tbl>
    <w:p w14:paraId="0A568B57">
      <w:pPr>
        <w:widowControl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21001510">
      <w:pPr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br w:type="page"/>
      </w:r>
    </w:p>
    <w:p w14:paraId="5AD0E98F">
      <w:pPr>
        <w:spacing w:line="360" w:lineRule="auto"/>
        <w:ind w:left="-171" w:firstLine="241" w:firstLineChars="100"/>
        <w:outlineLvl w:val="0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售后服务流程及方式</w:t>
      </w:r>
    </w:p>
    <w:p w14:paraId="3A43F68A">
      <w:pPr>
        <w:tabs>
          <w:tab w:val="left" w:pos="420"/>
        </w:tabs>
        <w:spacing w:line="360" w:lineRule="auto"/>
        <w:ind w:left="-850" w:leftChars="-405" w:firstLine="324" w:firstLineChars="135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6038215" cy="641477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248" cy="6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FD9CC">
      <w:pPr>
        <w:spacing w:line="360" w:lineRule="auto"/>
        <w:ind w:left="-171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售后服务要求</w:t>
      </w:r>
    </w:p>
    <w:p w14:paraId="25392CB1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响应时间：</w:t>
      </w:r>
    </w:p>
    <w:p w14:paraId="75A92375">
      <w:pPr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提供7×24小时电话服务，在接到甲方通知后，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系统维保响应时间≤30分钟</w:t>
      </w:r>
      <w:r>
        <w:rPr>
          <w:rFonts w:hint="eastAsia" w:ascii="宋体" w:hAnsi="宋体" w:eastAsia="宋体" w:cs="宋体"/>
          <w:sz w:val="24"/>
          <w:szCs w:val="24"/>
        </w:rPr>
        <w:t>。遇到系统重大问题时，如果远程无法解决的，乙方需在接到甲方通知后立即安排人员2小时内到达现场解决。</w:t>
      </w:r>
      <w:r>
        <w:rPr>
          <w:rFonts w:hint="eastAsia" w:ascii="宋体" w:hAnsi="宋体" w:eastAsia="宋体" w:cs="宋体"/>
          <w:kern w:val="0"/>
          <w:sz w:val="24"/>
          <w:szCs w:val="24"/>
        </w:rPr>
        <w:t>售后服务维保所产生费用均由乙方负责。</w:t>
      </w:r>
      <w:r>
        <w:rPr>
          <w:rFonts w:hint="eastAsia" w:ascii="宋体" w:hAnsi="宋体" w:eastAsia="宋体" w:cs="宋体"/>
          <w:sz w:val="24"/>
          <w:szCs w:val="24"/>
        </w:rPr>
        <w:t>维护完毕，反馈问题解决办法，并将问题及问题解决情况形成记录文档。</w:t>
      </w:r>
    </w:p>
    <w:p w14:paraId="012DAA2F">
      <w:pPr>
        <w:pStyle w:val="5"/>
        <w:widowControl/>
        <w:numPr>
          <w:ilvl w:val="0"/>
          <w:numId w:val="2"/>
        </w:numPr>
        <w:tabs>
          <w:tab w:val="left" w:pos="0"/>
        </w:tabs>
        <w:spacing w:line="360" w:lineRule="auto"/>
        <w:ind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驻点要求：</w:t>
      </w:r>
    </w:p>
    <w:p w14:paraId="6F23C4D3">
      <w:pPr>
        <w:pStyle w:val="5"/>
        <w:widowControl/>
        <w:tabs>
          <w:tab w:val="left" w:pos="0"/>
        </w:tabs>
        <w:spacing w:line="360" w:lineRule="auto"/>
        <w:ind w:left="36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每周不低于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天现场驻点维护处理我院需求，现场解决处理问题需列明清单并由甲方进行评价，根据评价结果进行考评，累计三次不合格扣除项目总额的0.1%，此项罚款不得超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过合同总价的5%，乙方应向甲方缴纳以上规定之罚款，不得推诿和延迟，不可抗拒的自然因素除外。</w:t>
      </w:r>
    </w:p>
    <w:p w14:paraId="72D4D593">
      <w:pPr>
        <w:pStyle w:val="5"/>
        <w:widowControl/>
        <w:numPr>
          <w:ilvl w:val="0"/>
          <w:numId w:val="2"/>
        </w:numPr>
        <w:tabs>
          <w:tab w:val="left" w:pos="0"/>
        </w:tabs>
        <w:spacing w:line="360" w:lineRule="auto"/>
        <w:ind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需求处理时间</w:t>
      </w:r>
    </w:p>
    <w:p w14:paraId="4DD647B6">
      <w:pPr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院方需求提出后，两个工作日内售后服务人员对新建需求进行分析（调研并做出分析响应）分配，与院方及技术人员确认计划完成时间。</w:t>
      </w:r>
    </w:p>
    <w:p w14:paraId="1878628F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13CDB"/>
    <w:multiLevelType w:val="multilevel"/>
    <w:tmpl w:val="46B13CDB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BA71518"/>
    <w:multiLevelType w:val="multilevel"/>
    <w:tmpl w:val="4BA71518"/>
    <w:lvl w:ilvl="0" w:tentative="0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jcyMDYwMTZhYjM5NGVkYWFkYTU0Mzk2OGRlY2YifQ=="/>
  </w:docVars>
  <w:rsids>
    <w:rsidRoot w:val="78597DAF"/>
    <w:rsid w:val="62670FD5"/>
    <w:rsid w:val="741B2531"/>
    <w:rsid w:val="78597DAF"/>
    <w:rsid w:val="7C2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5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865</Characters>
  <Lines>0</Lines>
  <Paragraphs>0</Paragraphs>
  <TotalTime>9</TotalTime>
  <ScaleCrop>false</ScaleCrop>
  <LinksUpToDate>false</LinksUpToDate>
  <CharactersWithSpaces>891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2024-04-07T06:45:00Z</dcterms:created>
  <dc:creator>何劲军</dc:creator>
  <cp:lastModifiedBy>Dan</cp:lastModifiedBy>
  <dcterms:modified xsi:type="dcterms:W3CDTF">2025-05-26T01:21:10Z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D21B84FA7E6B4F60BAB7C80FD0FD362F_11</vt:lpwstr>
  </property>
  <property fmtid="{D5CDD505-2E9C-101B-9397-08002B2CF9AE}" pid="4" name="KSOTemplateDocerSaveRecord">
    <vt:lpwstr>eyJoZGlkIjoiZTFlZjliMzU5MDlkZjYzNTgyM2M0MTM5ZjcyZmRhMzgiLCJ1c2VySWQiOiI1MDYwNDcyMzUifQ==</vt:lpwstr>
  </property>
</Properties>
</file>