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厦门市海沧医院费用控制系统、合同</w:t>
      </w:r>
      <w:r>
        <w:rPr>
          <w:rFonts w:hint="eastAsia"/>
          <w:b w:val="0"/>
          <w:bCs w:val="0"/>
          <w:sz w:val="52"/>
          <w:szCs w:val="52"/>
          <w:lang w:val="en-US" w:eastAsia="zh-CN"/>
        </w:rPr>
        <w:t>审核系统项目需求说明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一、费用控制系统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支持线上完成费用报销的申报和审批。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费用报销审核，支持电子发票自动识别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、查重、验真等功能。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费用报销审核，结合医院财务报销制度，进行异常提示，如费用金额是否合理，敏感词提醒，是否超出预算，给与审核人提示信息等。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便于报销人员、财务人员、相关管理人员及时了解审批进展、报销、支付的结果。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医院组织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架构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，登记相关人员、职务、权限信息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 xml:space="preserve">，配置审批流；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支持费控自定义模板，规范报销人报销流程，避免信息错填、漏填等情况。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预算控制，根据预算相关内容进行规则判断，从而进行预算控制。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二、合同审核系统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支持线上完成合同内容的申报和审批。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便于合同申请人员、相关审批人员及时了解合同进展、归档、支付情况，支持关键词查询。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医院组织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架构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，登记相关人员、职务、权限信息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，配置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人员对应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审批流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根据医院合同类型、金额等不同条件，配备不同的合同审批流程。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支持供应商、客户等信息的维护。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支持合同自定义模板，规范申请人合同填写，避免信息错填、漏填等情况。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合同款项管理，应收/付款、已收/付款、未收/付款金额显示，合同款项时间节点到期提示。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支持审批通过的合同的电子章签订、发送、状态展示。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CF83C"/>
    <w:multiLevelType w:val="singleLevel"/>
    <w:tmpl w:val="82FCF8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24AC6A"/>
    <w:multiLevelType w:val="singleLevel"/>
    <w:tmpl w:val="7B24AC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F27C9"/>
    <w:rsid w:val="114F27C9"/>
    <w:rsid w:val="21271585"/>
    <w:rsid w:val="6CED25DF"/>
    <w:rsid w:val="6E096DD9"/>
    <w:rsid w:val="792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2022-02-25T01:58:00Z</dcterms:created>
  <dc:creator>Ling</dc:creator>
  <cp:lastModifiedBy>edu</cp:lastModifiedBy>
  <dcterms:modified xsi:type="dcterms:W3CDTF">2022-03-15T03:30:30Z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989FB8F2B39D4AAF98C70A24F1D6591B</vt:lpwstr>
  </property>
</Properties>
</file>